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D9" w:rsidRDefault="005B73D9" w:rsidP="00366B25">
      <w:pPr>
        <w:jc w:val="center"/>
        <w:rPr>
          <w:noProof/>
        </w:rPr>
      </w:pPr>
      <w:r>
        <w:rPr>
          <w:rFonts w:ascii="華康正顏楷體W7(P)" w:eastAsia="華康正顏楷體W7(P)" w:hAnsi="華康黑體 Std W12" w:cs="Times New Roman" w:hint="eastAsia"/>
          <w:bCs/>
          <w:noProof/>
          <w:color w:val="806000" w:themeColor="accent4" w:themeShade="80"/>
          <w:kern w:val="0"/>
          <w:sz w:val="48"/>
          <w:szCs w:val="52"/>
        </w:rPr>
        <w:drawing>
          <wp:inline distT="0" distB="0" distL="0" distR="0">
            <wp:extent cx="2818054" cy="1905000"/>
            <wp:effectExtent l="0" t="0" r="190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455" cy="195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25750" cy="1869223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707" cy="188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0B0" w:rsidRPr="00D41BA1" w:rsidRDefault="00BC5D77" w:rsidP="00366B25">
      <w:pPr>
        <w:jc w:val="center"/>
        <w:rPr>
          <w:rFonts w:ascii="華康正顏楷體W7(P)" w:eastAsia="華康正顏楷體W7(P)" w:hAnsi="華康黑體 Std W12" w:cs="Times New Roman"/>
          <w:b/>
          <w:bCs/>
          <w:color w:val="806000" w:themeColor="accent4" w:themeShade="80"/>
          <w:kern w:val="0"/>
          <w:sz w:val="56"/>
          <w:szCs w:val="56"/>
        </w:rPr>
      </w:pPr>
      <w:r w:rsidRPr="00D41BA1">
        <w:rPr>
          <w:rFonts w:ascii="Times New Roman" w:eastAsia="華康正顏楷體W7(P)" w:hAnsi="Times New Roman" w:cs="Times New Roman" w:hint="eastAsia"/>
          <w:b/>
          <w:bCs/>
          <w:color w:val="806000" w:themeColor="accent4" w:themeShade="80"/>
          <w:kern w:val="0"/>
          <w:sz w:val="56"/>
          <w:szCs w:val="56"/>
        </w:rPr>
        <w:t>教與學的軸心扭轉</w:t>
      </w:r>
      <w:r w:rsidR="0025720D" w:rsidRPr="00D41BA1">
        <w:rPr>
          <w:rFonts w:ascii="Times New Roman" w:eastAsia="華康正顏楷體W7(P)" w:hAnsi="Times New Roman" w:cs="Times New Roman" w:hint="eastAsia"/>
          <w:b/>
          <w:bCs/>
          <w:color w:val="806000" w:themeColor="accent4" w:themeShade="80"/>
          <w:kern w:val="0"/>
          <w:sz w:val="56"/>
          <w:szCs w:val="56"/>
        </w:rPr>
        <w:t>X</w:t>
      </w:r>
      <w:r w:rsidR="0025720D" w:rsidRPr="00D0003F">
        <w:rPr>
          <w:rFonts w:ascii="Times New Roman" w:eastAsia="華康正顏楷體W7(P)" w:hAnsi="Times New Roman" w:cs="Times New Roman" w:hint="eastAsia"/>
          <w:b/>
          <w:bCs/>
          <w:color w:val="806000" w:themeColor="accent4" w:themeShade="80"/>
          <w:kern w:val="0"/>
          <w:sz w:val="56"/>
          <w:szCs w:val="56"/>
        </w:rPr>
        <w:t>實務</w:t>
      </w:r>
      <w:r w:rsidR="00A723A4" w:rsidRPr="00D0003F">
        <w:rPr>
          <w:rFonts w:ascii="Times New Roman" w:eastAsia="華康正顏楷體W7(P)" w:hAnsi="Times New Roman" w:cs="Times New Roman" w:hint="eastAsia"/>
          <w:b/>
          <w:bCs/>
          <w:color w:val="806000" w:themeColor="accent4" w:themeShade="80"/>
          <w:kern w:val="0"/>
          <w:sz w:val="56"/>
          <w:szCs w:val="56"/>
        </w:rPr>
        <w:t>個案研討</w:t>
      </w:r>
      <w:r w:rsidR="0025720D" w:rsidRPr="00D41BA1">
        <w:rPr>
          <w:rFonts w:ascii="華康正顏楷體W7(P)" w:eastAsia="華康正顏楷體W7(P)" w:hAnsi="華康黑體 Std W12" w:cs="Times New Roman" w:hint="eastAsia"/>
          <w:b/>
          <w:bCs/>
          <w:color w:val="806000" w:themeColor="accent4" w:themeShade="80"/>
          <w:kern w:val="0"/>
          <w:sz w:val="56"/>
          <w:szCs w:val="56"/>
        </w:rPr>
        <w:t>工作坊</w:t>
      </w:r>
    </w:p>
    <w:p w:rsidR="00441668" w:rsidRPr="00F74FC3" w:rsidRDefault="00441668" w:rsidP="00441668">
      <w:pPr>
        <w:pStyle w:val="a4"/>
        <w:widowControl/>
        <w:numPr>
          <w:ilvl w:val="0"/>
          <w:numId w:val="6"/>
        </w:numPr>
        <w:spacing w:line="0" w:lineRule="atLeast"/>
        <w:ind w:leftChars="0"/>
        <w:jc w:val="both"/>
        <w:rPr>
          <w:rFonts w:ascii="標楷體" w:eastAsia="微軟正黑體" w:hAnsi="標楷體" w:cs="Times New Roman"/>
          <w:bCs/>
          <w:kern w:val="0"/>
          <w:sz w:val="36"/>
          <w:szCs w:val="36"/>
        </w:rPr>
      </w:pPr>
      <w:r w:rsidRPr="00F74FC3">
        <w:rPr>
          <w:rFonts w:ascii="標楷體" w:eastAsia="微軟正黑體" w:hAnsi="標楷體" w:cs="Times New Roman" w:hint="eastAsia"/>
          <w:bCs/>
          <w:color w:val="0070C0"/>
          <w:kern w:val="0"/>
          <w:sz w:val="36"/>
          <w:szCs w:val="36"/>
        </w:rPr>
        <w:t>工作坊介紹</w:t>
      </w:r>
    </w:p>
    <w:p w:rsidR="006147E1" w:rsidRDefault="006147E1" w:rsidP="001441AC">
      <w:pPr>
        <w:widowControl/>
        <w:spacing w:line="0" w:lineRule="atLeast"/>
        <w:ind w:leftChars="400" w:left="960"/>
        <w:jc w:val="both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6147E1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技職</w:t>
      </w:r>
      <w:r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教育目標是</w:t>
      </w:r>
      <w:r w:rsidR="00187923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培養業界所需人才</w:t>
      </w:r>
      <w:r w:rsidR="00187923" w:rsidRPr="006147E1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降低</w:t>
      </w:r>
      <w:r w:rsidR="00187923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理論與實務的</w:t>
      </w:r>
      <w:r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學用落差</w:t>
      </w:r>
      <w:r w:rsidR="007F44FE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，學校</w:t>
      </w:r>
      <w:r w:rsidR="007F44FE" w:rsidRPr="006147E1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老師</w:t>
      </w:r>
      <w:r w:rsidR="007F44FE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們也願意多接觸</w:t>
      </w:r>
      <w:r w:rsidR="007F44FE" w:rsidRPr="006147E1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產學</w:t>
      </w:r>
      <w:r w:rsidR="007F44FE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實務及活化教學設計，以強化專業知識與能力的傳授</w:t>
      </w:r>
      <w:r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；</w:t>
      </w:r>
      <w:r w:rsidR="007F44FE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但對於如何</w:t>
      </w:r>
      <w:r w:rsidR="00187923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培養學生解決實務問題的技能</w:t>
      </w:r>
      <w:r w:rsidR="00187923" w:rsidRPr="006147E1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，</w:t>
      </w:r>
      <w:r w:rsidR="007F44FE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則常</w:t>
      </w:r>
      <w:r w:rsidRPr="006147E1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不清楚應</w:t>
      </w:r>
      <w:r w:rsidR="007F44FE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如何著手？</w:t>
      </w:r>
      <w:r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本工作坊由雲科大會計系與台中家商會計科攜手翻</w:t>
      </w:r>
      <w:bookmarkStart w:id="0" w:name="_GoBack"/>
      <w:bookmarkEnd w:id="0"/>
      <w:r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轉教與學的軸心，培養學員</w:t>
      </w:r>
      <w:r w:rsidR="007F44FE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實踐</w:t>
      </w:r>
      <w:r w:rsidRPr="00AF2AA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從學知識到練技能</w:t>
      </w:r>
      <w:r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的教學目標，並將產學鏈結的研發成果</w:t>
      </w:r>
      <w:r w:rsidR="007F44FE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與教學個案</w:t>
      </w:r>
      <w:r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進行知識擴散，</w:t>
      </w:r>
      <w:r w:rsidR="007F44FE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邀集</w:t>
      </w:r>
      <w:r w:rsidRPr="006147E1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有興趣的</w:t>
      </w:r>
      <w:r w:rsidR="001441AC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學校</w:t>
      </w:r>
      <w:r w:rsidRPr="006147E1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老師</w:t>
      </w:r>
      <w:r w:rsidR="001441AC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及業界人士</w:t>
      </w:r>
      <w:r w:rsidRPr="006147E1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共同參與，</w:t>
      </w:r>
      <w:r w:rsidR="001441AC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希望</w:t>
      </w:r>
      <w:r w:rsidRPr="006147E1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對其職涯發展有所助益。</w:t>
      </w:r>
    </w:p>
    <w:p w:rsidR="007E7590" w:rsidRDefault="007E7590" w:rsidP="007E7590">
      <w:pPr>
        <w:widowControl/>
        <w:spacing w:line="0" w:lineRule="atLeast"/>
        <w:ind w:leftChars="400" w:left="96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</w:p>
    <w:p w:rsidR="007E7590" w:rsidRPr="00550CCD" w:rsidRDefault="007E7590" w:rsidP="007E7590">
      <w:pPr>
        <w:widowControl/>
        <w:spacing w:line="0" w:lineRule="atLeast"/>
        <w:ind w:leftChars="400" w:left="960"/>
        <w:jc w:val="both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550CCD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【</w:t>
      </w:r>
      <w:r w:rsidR="00FA2313" w:rsidRPr="00550CCD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因應</w:t>
      </w:r>
      <w:r w:rsidRPr="00550CCD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108新課綱】著重強化跨科的基礎技術能力，以及增加學生實習實作機會,並讓學生有機會體驗了解職場運作，因此本工作坊課程</w:t>
      </w:r>
      <w:r w:rsidR="007A0DB3" w:rsidRPr="00550CCD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亦</w:t>
      </w:r>
      <w:r w:rsidRPr="00550CCD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有助於豐富化甄選入學第二階段，學習歷程檔案、專題實作及實習科目學習成果的應用。</w:t>
      </w:r>
    </w:p>
    <w:p w:rsidR="00103785" w:rsidRDefault="00103785" w:rsidP="001441AC">
      <w:pPr>
        <w:widowControl/>
        <w:spacing w:line="0" w:lineRule="atLeast"/>
        <w:ind w:leftChars="400" w:left="960"/>
        <w:jc w:val="both"/>
        <w:rPr>
          <w:rFonts w:ascii="標楷體" w:eastAsia="標楷體" w:hAnsi="標楷體" w:cs="Times New Roman"/>
          <w:bCs/>
          <w:kern w:val="0"/>
          <w:sz w:val="28"/>
          <w:szCs w:val="28"/>
        </w:rPr>
      </w:pPr>
    </w:p>
    <w:p w:rsidR="00103785" w:rsidRPr="00F74FC3" w:rsidRDefault="00103785" w:rsidP="00103785">
      <w:pPr>
        <w:pStyle w:val="a4"/>
        <w:widowControl/>
        <w:numPr>
          <w:ilvl w:val="0"/>
          <w:numId w:val="6"/>
        </w:numPr>
        <w:spacing w:line="0" w:lineRule="atLeast"/>
        <w:ind w:leftChars="0"/>
        <w:jc w:val="both"/>
        <w:rPr>
          <w:rFonts w:ascii="標楷體" w:eastAsia="微軟正黑體" w:hAnsi="標楷體" w:cs="Times New Roman"/>
          <w:bCs/>
          <w:color w:val="0070C0"/>
          <w:kern w:val="0"/>
          <w:szCs w:val="24"/>
        </w:rPr>
      </w:pPr>
      <w:r w:rsidRPr="00F74FC3">
        <w:rPr>
          <w:rFonts w:ascii="標楷體" w:eastAsia="微軟正黑體" w:hAnsi="標楷體" w:cs="Times New Roman" w:hint="eastAsia"/>
          <w:bCs/>
          <w:color w:val="0070C0"/>
          <w:kern w:val="0"/>
          <w:sz w:val="36"/>
          <w:szCs w:val="36"/>
        </w:rPr>
        <w:t>時間與地點</w:t>
      </w:r>
    </w:p>
    <w:p w:rsidR="003739E5" w:rsidRPr="00952748" w:rsidRDefault="00103785" w:rsidP="00103785">
      <w:pPr>
        <w:pStyle w:val="a4"/>
        <w:widowControl/>
        <w:spacing w:line="0" w:lineRule="atLeast"/>
        <w:ind w:leftChars="0" w:firstLine="48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8/21(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三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) 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上午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9:00-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下午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5:00 </w:t>
      </w:r>
    </w:p>
    <w:p w:rsidR="006E0E13" w:rsidRPr="00952748" w:rsidRDefault="003739E5" w:rsidP="00103785">
      <w:pPr>
        <w:pStyle w:val="a4"/>
        <w:widowControl/>
        <w:spacing w:line="0" w:lineRule="atLeast"/>
        <w:ind w:leftChars="0" w:firstLine="48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台中市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401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東區和平街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50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號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 (</w:t>
      </w:r>
      <w:r w:rsidR="00B012B5"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台中家商</w:t>
      </w:r>
      <w:r w:rsidR="00B012B5"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  </w:t>
      </w:r>
      <w:r w:rsidR="00F82BAA"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閱覽室一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)</w:t>
      </w:r>
    </w:p>
    <w:p w:rsidR="009F12A3" w:rsidRPr="00952748" w:rsidRDefault="006D73D6" w:rsidP="00103785">
      <w:pPr>
        <w:pStyle w:val="a4"/>
        <w:widowControl/>
        <w:spacing w:line="0" w:lineRule="atLeast"/>
        <w:ind w:leftChars="0" w:firstLine="48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  <w:highlight w:val="yellow"/>
        </w:rPr>
        <w:t>(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  <w:highlight w:val="yellow"/>
        </w:rPr>
        <w:t>離台中火車站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  <w:highlight w:val="yellow"/>
        </w:rPr>
        <w:t>500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  <w:highlight w:val="yellow"/>
        </w:rPr>
        <w:t>公尺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  <w:highlight w:val="yellow"/>
        </w:rPr>
        <w:t>)</w:t>
      </w:r>
    </w:p>
    <w:p w:rsidR="006D73D6" w:rsidRPr="009F6F64" w:rsidRDefault="006D73D6" w:rsidP="00103785">
      <w:pPr>
        <w:pStyle w:val="a4"/>
        <w:widowControl/>
        <w:spacing w:line="0" w:lineRule="atLeast"/>
        <w:ind w:leftChars="0" w:firstLine="480"/>
        <w:jc w:val="both"/>
        <w:rPr>
          <w:rFonts w:ascii="標楷體" w:eastAsia="標楷體" w:hAnsi="標楷體" w:cs="Times New Roman"/>
          <w:bCs/>
          <w:kern w:val="0"/>
          <w:sz w:val="28"/>
          <w:szCs w:val="28"/>
        </w:rPr>
      </w:pPr>
    </w:p>
    <w:p w:rsidR="000D565D" w:rsidRPr="00F74FC3" w:rsidRDefault="00D41BA1" w:rsidP="00441668">
      <w:pPr>
        <w:pStyle w:val="a4"/>
        <w:widowControl/>
        <w:numPr>
          <w:ilvl w:val="0"/>
          <w:numId w:val="6"/>
        </w:numPr>
        <w:spacing w:line="0" w:lineRule="atLeast"/>
        <w:ind w:leftChars="0"/>
        <w:jc w:val="both"/>
        <w:rPr>
          <w:rFonts w:ascii="標楷體" w:eastAsia="微軟正黑體" w:hAnsi="標楷體" w:cs="Times New Roman"/>
          <w:bCs/>
          <w:color w:val="0070C0"/>
          <w:kern w:val="0"/>
          <w:szCs w:val="24"/>
        </w:rPr>
      </w:pPr>
      <w:r w:rsidRPr="00F74FC3">
        <w:rPr>
          <w:rFonts w:ascii="標楷體" w:eastAsia="微軟正黑體" w:hAnsi="標楷體" w:cs="Times New Roman" w:hint="eastAsia"/>
          <w:bCs/>
          <w:color w:val="0070C0"/>
          <w:kern w:val="0"/>
          <w:sz w:val="36"/>
          <w:szCs w:val="36"/>
        </w:rPr>
        <w:t>主題名稱</w:t>
      </w:r>
    </w:p>
    <w:p w:rsidR="00FB3615" w:rsidRDefault="00F85F4E" w:rsidP="000D565D">
      <w:pPr>
        <w:widowControl/>
        <w:spacing w:line="0" w:lineRule="atLeast"/>
        <w:ind w:leftChars="400" w:left="960"/>
        <w:jc w:val="both"/>
        <w:rPr>
          <w:rFonts w:ascii="標楷體" w:eastAsia="標楷體" w:hAnsi="標楷體" w:cs="Times New Roman"/>
          <w:b/>
          <w:bCs/>
          <w:color w:val="FF0000"/>
          <w:kern w:val="0"/>
          <w:sz w:val="32"/>
          <w:szCs w:val="32"/>
        </w:rPr>
      </w:pPr>
      <w:r w:rsidRPr="00F85F4E">
        <w:rPr>
          <w:rFonts w:ascii="標楷體" w:eastAsia="標楷體" w:hAnsi="標楷體" w:cs="Times New Roman" w:hint="eastAsia"/>
          <w:b/>
          <w:bCs/>
          <w:color w:val="FF0000"/>
          <w:kern w:val="0"/>
          <w:sz w:val="32"/>
          <w:szCs w:val="32"/>
        </w:rPr>
        <w:t>【從學知識到練技能】~由策略、營運到預算管理</w:t>
      </w:r>
    </w:p>
    <w:p w:rsidR="006D73D6" w:rsidRPr="00F85F4E" w:rsidRDefault="006D73D6" w:rsidP="000D565D">
      <w:pPr>
        <w:widowControl/>
        <w:spacing w:line="0" w:lineRule="atLeast"/>
        <w:ind w:leftChars="400" w:left="960"/>
        <w:jc w:val="both"/>
        <w:rPr>
          <w:rFonts w:ascii="標楷體" w:eastAsia="標楷體" w:hAnsi="標楷體" w:cs="Times New Roman"/>
          <w:b/>
          <w:bCs/>
          <w:color w:val="FF0000"/>
          <w:kern w:val="0"/>
          <w:sz w:val="32"/>
          <w:szCs w:val="32"/>
        </w:rPr>
      </w:pPr>
    </w:p>
    <w:p w:rsidR="00441668" w:rsidRPr="00F74FC3" w:rsidRDefault="00441668" w:rsidP="00441668">
      <w:pPr>
        <w:pStyle w:val="a4"/>
        <w:widowControl/>
        <w:numPr>
          <w:ilvl w:val="0"/>
          <w:numId w:val="6"/>
        </w:numPr>
        <w:spacing w:line="0" w:lineRule="atLeast"/>
        <w:ind w:leftChars="0"/>
        <w:jc w:val="both"/>
        <w:rPr>
          <w:rFonts w:ascii="標楷體" w:eastAsia="微軟正黑體" w:hAnsi="標楷體" w:cs="Times New Roman"/>
          <w:bCs/>
          <w:color w:val="0070C0"/>
          <w:kern w:val="0"/>
          <w:szCs w:val="24"/>
        </w:rPr>
      </w:pPr>
      <w:r w:rsidRPr="00F74FC3">
        <w:rPr>
          <w:rFonts w:ascii="標楷體" w:eastAsia="微軟正黑體" w:hAnsi="標楷體" w:cs="Times New Roman" w:hint="eastAsia"/>
          <w:bCs/>
          <w:color w:val="0070C0"/>
          <w:kern w:val="0"/>
          <w:sz w:val="36"/>
          <w:szCs w:val="36"/>
        </w:rPr>
        <w:t>講師介紹</w:t>
      </w:r>
    </w:p>
    <w:p w:rsidR="00D01336" w:rsidRPr="00D01336" w:rsidRDefault="00D01336" w:rsidP="000A2F76">
      <w:pPr>
        <w:widowControl/>
        <w:spacing w:line="0" w:lineRule="atLeast"/>
        <w:ind w:leftChars="400" w:left="960"/>
        <w:jc w:val="both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D01336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傅鍾仁（雲林科技大學會計系教授）</w:t>
      </w:r>
    </w:p>
    <w:p w:rsidR="00D01336" w:rsidRDefault="00D01336" w:rsidP="000A2F76">
      <w:pPr>
        <w:widowControl/>
        <w:spacing w:line="0" w:lineRule="atLeast"/>
        <w:ind w:leftChars="400" w:left="960"/>
        <w:jc w:val="both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D01336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黃瓊瑤（雲林科技大學會計系教授）</w:t>
      </w:r>
    </w:p>
    <w:p w:rsidR="006D73D6" w:rsidRDefault="006D73D6" w:rsidP="000A2F76">
      <w:pPr>
        <w:widowControl/>
        <w:spacing w:line="0" w:lineRule="atLeast"/>
        <w:ind w:leftChars="400" w:left="960"/>
        <w:jc w:val="both"/>
        <w:rPr>
          <w:rFonts w:ascii="標楷體" w:eastAsia="標楷體" w:hAnsi="標楷體" w:cs="Times New Roman"/>
          <w:bCs/>
          <w:kern w:val="0"/>
          <w:sz w:val="28"/>
          <w:szCs w:val="28"/>
        </w:rPr>
      </w:pPr>
    </w:p>
    <w:p w:rsidR="006D73D6" w:rsidRDefault="006D73D6" w:rsidP="000A2F76">
      <w:pPr>
        <w:widowControl/>
        <w:spacing w:line="0" w:lineRule="atLeast"/>
        <w:ind w:leftChars="400" w:left="960"/>
        <w:jc w:val="both"/>
        <w:rPr>
          <w:rFonts w:ascii="標楷體" w:eastAsia="標楷體" w:hAnsi="標楷體" w:cs="Times New Roman"/>
          <w:bCs/>
          <w:kern w:val="0"/>
          <w:sz w:val="28"/>
          <w:szCs w:val="28"/>
        </w:rPr>
      </w:pPr>
    </w:p>
    <w:p w:rsidR="006D73D6" w:rsidRPr="00D01336" w:rsidRDefault="006D73D6" w:rsidP="000A2F76">
      <w:pPr>
        <w:widowControl/>
        <w:spacing w:line="0" w:lineRule="atLeast"/>
        <w:ind w:leftChars="400" w:left="960"/>
        <w:jc w:val="both"/>
        <w:rPr>
          <w:rFonts w:ascii="標楷體" w:eastAsia="標楷體" w:hAnsi="標楷體" w:cs="Times New Roman"/>
          <w:bCs/>
          <w:kern w:val="0"/>
          <w:sz w:val="28"/>
          <w:szCs w:val="28"/>
        </w:rPr>
      </w:pPr>
    </w:p>
    <w:p w:rsidR="00D01336" w:rsidRPr="00D01336" w:rsidRDefault="00D01336" w:rsidP="00D01336">
      <w:pPr>
        <w:pStyle w:val="a4"/>
        <w:widowControl/>
        <w:spacing w:line="0" w:lineRule="atLeast"/>
        <w:jc w:val="both"/>
        <w:rPr>
          <w:rFonts w:ascii="標楷體" w:eastAsia="標楷體" w:hAnsi="標楷體" w:cs="Times New Roman"/>
          <w:bCs/>
          <w:kern w:val="0"/>
          <w:sz w:val="28"/>
          <w:szCs w:val="28"/>
        </w:rPr>
      </w:pPr>
    </w:p>
    <w:p w:rsidR="0099682E" w:rsidRPr="00F74FC3" w:rsidRDefault="00441668" w:rsidP="00441668">
      <w:pPr>
        <w:pStyle w:val="a4"/>
        <w:widowControl/>
        <w:numPr>
          <w:ilvl w:val="0"/>
          <w:numId w:val="6"/>
        </w:numPr>
        <w:spacing w:line="0" w:lineRule="atLeast"/>
        <w:ind w:leftChars="0"/>
        <w:jc w:val="both"/>
        <w:rPr>
          <w:rFonts w:ascii="標楷體" w:eastAsia="微軟正黑體" w:hAnsi="標楷體" w:cs="Times New Roman"/>
          <w:bCs/>
          <w:color w:val="0070C0"/>
          <w:kern w:val="0"/>
          <w:szCs w:val="24"/>
        </w:rPr>
      </w:pPr>
      <w:r w:rsidRPr="00F74FC3">
        <w:rPr>
          <w:rFonts w:ascii="標楷體" w:eastAsia="微軟正黑體" w:hAnsi="標楷體" w:cs="Times New Roman" w:hint="eastAsia"/>
          <w:bCs/>
          <w:color w:val="0070C0"/>
          <w:kern w:val="0"/>
          <w:sz w:val="36"/>
          <w:szCs w:val="36"/>
        </w:rPr>
        <w:lastRenderedPageBreak/>
        <w:t>工作坊內容介紹及課程安排</w:t>
      </w:r>
    </w:p>
    <w:p w:rsidR="00C20A67" w:rsidRDefault="000A370E" w:rsidP="001F43A4">
      <w:pPr>
        <w:widowControl/>
        <w:spacing w:line="0" w:lineRule="atLeast"/>
        <w:ind w:leftChars="400" w:left="960"/>
        <w:jc w:val="both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0A370E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透過個案分析與討論，讓學</w:t>
      </w:r>
      <w:r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員</w:t>
      </w:r>
      <w:r w:rsidRPr="000A370E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瞭解實務問題情境，並運用會計及管理知識，學習在不同情境下，如何做出最佳管理決策。能夠掌握組織共通性的問題及分析問題根源，提出一般化的問題處理模型；再針對組織個別問題進行深入淺出的分析，提出完整且配套的解決對策，並建立良好的思維與處理模式。</w:t>
      </w:r>
      <w:r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結合個案演練與討論、實務工具操作</w:t>
      </w:r>
      <w:r w:rsidRPr="000A370E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與</w:t>
      </w:r>
      <w:r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成果發表</w:t>
      </w:r>
      <w:r w:rsidRPr="000A370E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等多元化學習方式，透過更互動與整合式的學習歷程，</w:t>
      </w:r>
      <w:r w:rsidR="009215DF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以</w:t>
      </w:r>
      <w:r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培養</w:t>
      </w:r>
      <w:r w:rsidRPr="000A370E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學員能對</w:t>
      </w:r>
      <w:r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商業模式規劃、</w:t>
      </w:r>
      <w:r w:rsidRPr="000A370E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策略管理與</w:t>
      </w:r>
      <w:r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預算編製</w:t>
      </w:r>
      <w:r w:rsidRPr="000A370E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等重要之管理工具有更清楚的認識</w:t>
      </w:r>
      <w:r w:rsidR="00FB36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，及診斷</w:t>
      </w:r>
      <w:r w:rsidRPr="000A370E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與解決</w:t>
      </w:r>
      <w:r w:rsidR="00FB36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複雜管理</w:t>
      </w:r>
      <w:r w:rsidR="00FB3615" w:rsidRPr="000A370E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問題</w:t>
      </w:r>
      <w:r w:rsidRPr="000A370E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之能力。</w:t>
      </w:r>
    </w:p>
    <w:p w:rsidR="006D73D6" w:rsidRPr="001F43A4" w:rsidRDefault="006D73D6" w:rsidP="001F43A4">
      <w:pPr>
        <w:widowControl/>
        <w:spacing w:line="0" w:lineRule="atLeast"/>
        <w:ind w:leftChars="400" w:left="960"/>
        <w:jc w:val="both"/>
        <w:rPr>
          <w:rFonts w:ascii="標楷體" w:eastAsia="標楷體" w:hAnsi="標楷體" w:cs="Times New Roman"/>
          <w:bCs/>
          <w:kern w:val="0"/>
          <w:sz w:val="28"/>
          <w:szCs w:val="28"/>
        </w:rPr>
      </w:pPr>
    </w:p>
    <w:p w:rsidR="000D565D" w:rsidRPr="00F74FC3" w:rsidRDefault="00972B8E" w:rsidP="007B550A">
      <w:pPr>
        <w:pStyle w:val="a4"/>
        <w:widowControl/>
        <w:numPr>
          <w:ilvl w:val="0"/>
          <w:numId w:val="6"/>
        </w:numPr>
        <w:spacing w:line="0" w:lineRule="atLeast"/>
        <w:ind w:leftChars="0"/>
        <w:jc w:val="both"/>
        <w:rPr>
          <w:rFonts w:ascii="標楷體" w:eastAsia="微軟正黑體" w:hAnsi="標楷體" w:cs="Times New Roman"/>
          <w:bCs/>
          <w:color w:val="0070C0"/>
          <w:kern w:val="0"/>
          <w:szCs w:val="24"/>
        </w:rPr>
      </w:pPr>
      <w:r w:rsidRPr="00F74FC3">
        <w:rPr>
          <w:rFonts w:ascii="標楷體" w:eastAsia="微軟正黑體" w:hAnsi="標楷體" w:cs="Times New Roman" w:hint="eastAsia"/>
          <w:bCs/>
          <w:color w:val="0070C0"/>
          <w:kern w:val="0"/>
          <w:sz w:val="36"/>
          <w:szCs w:val="36"/>
        </w:rPr>
        <w:t>適用對象</w:t>
      </w:r>
    </w:p>
    <w:p w:rsidR="00972B8E" w:rsidRDefault="00763B98" w:rsidP="000D565D">
      <w:pPr>
        <w:widowControl/>
        <w:spacing w:line="0" w:lineRule="atLeast"/>
        <w:ind w:leftChars="400" w:left="960"/>
        <w:jc w:val="both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0D565D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創新教育及產學合作有興趣的高職、技專校院教師、</w:t>
      </w:r>
      <w:r w:rsidR="001441AC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業界人士</w:t>
      </w:r>
    </w:p>
    <w:p w:rsidR="006D73D6" w:rsidRPr="000D565D" w:rsidRDefault="006D73D6" w:rsidP="000D565D">
      <w:pPr>
        <w:widowControl/>
        <w:spacing w:line="0" w:lineRule="atLeast"/>
        <w:ind w:leftChars="400" w:left="960"/>
        <w:jc w:val="both"/>
        <w:rPr>
          <w:rFonts w:ascii="標楷體" w:eastAsia="標楷體" w:hAnsi="標楷體" w:cs="Times New Roman"/>
          <w:bCs/>
          <w:kern w:val="0"/>
          <w:sz w:val="28"/>
          <w:szCs w:val="28"/>
        </w:rPr>
      </w:pPr>
    </w:p>
    <w:p w:rsidR="00972B8E" w:rsidRPr="00F74FC3" w:rsidRDefault="00972B8E" w:rsidP="007B550A">
      <w:pPr>
        <w:pStyle w:val="a4"/>
        <w:widowControl/>
        <w:numPr>
          <w:ilvl w:val="0"/>
          <w:numId w:val="6"/>
        </w:numPr>
        <w:spacing w:line="0" w:lineRule="atLeast"/>
        <w:ind w:leftChars="0"/>
        <w:jc w:val="both"/>
        <w:rPr>
          <w:rFonts w:ascii="標楷體" w:eastAsia="微軟正黑體" w:hAnsi="標楷體" w:cs="Times New Roman"/>
          <w:bCs/>
          <w:color w:val="0070C0"/>
          <w:kern w:val="0"/>
          <w:szCs w:val="24"/>
        </w:rPr>
      </w:pPr>
      <w:r w:rsidRPr="00F74FC3">
        <w:rPr>
          <w:rFonts w:ascii="標楷體" w:eastAsia="微軟正黑體" w:hAnsi="標楷體" w:cs="Times New Roman" w:hint="eastAsia"/>
          <w:bCs/>
          <w:color w:val="0070C0"/>
          <w:kern w:val="0"/>
          <w:sz w:val="36"/>
          <w:szCs w:val="36"/>
        </w:rPr>
        <w:t>教材及講義使用需求</w:t>
      </w:r>
    </w:p>
    <w:p w:rsidR="00FB3615" w:rsidRPr="00952748" w:rsidRDefault="00FB3615" w:rsidP="00F74FC3">
      <w:pPr>
        <w:pStyle w:val="a4"/>
        <w:widowControl/>
        <w:numPr>
          <w:ilvl w:val="0"/>
          <w:numId w:val="12"/>
        </w:numPr>
        <w:spacing w:line="0" w:lineRule="atLeast"/>
        <w:ind w:leftChars="450" w:left="1562" w:hanging="482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傅鍾仁、黃瓊瑤，民國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108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年</w:t>
      </w:r>
      <w:r w:rsidR="00AB00C8"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4</w:t>
      </w:r>
      <w:r w:rsidR="00AB00C8"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月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，策略管理與會計個案集，元照出版有限公司。</w:t>
      </w:r>
    </w:p>
    <w:p w:rsidR="007F44FE" w:rsidRPr="00952748" w:rsidRDefault="007F44FE" w:rsidP="00F74FC3">
      <w:pPr>
        <w:pStyle w:val="a4"/>
        <w:widowControl/>
        <w:numPr>
          <w:ilvl w:val="0"/>
          <w:numId w:val="12"/>
        </w:numPr>
        <w:spacing w:line="0" w:lineRule="atLeast"/>
        <w:ind w:leftChars="450" w:left="1562" w:hanging="482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黃瓊瑤、傅鍾仁，民國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107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年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6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月，「營運規劃及預算管理制度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(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一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)-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經營診斷與策略規劃」。月旦會計實務研究，第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6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期，頁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87-97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。</w:t>
      </w:r>
    </w:p>
    <w:p w:rsidR="00C75C62" w:rsidRPr="00952748" w:rsidRDefault="00C75C62" w:rsidP="00F74FC3">
      <w:pPr>
        <w:pStyle w:val="a4"/>
        <w:widowControl/>
        <w:numPr>
          <w:ilvl w:val="0"/>
          <w:numId w:val="12"/>
        </w:numPr>
        <w:spacing w:line="0" w:lineRule="atLeast"/>
        <w:ind w:leftChars="450" w:left="1562" w:hanging="482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黃瓊瑤、傅鍾仁，民國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107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年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7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月，「營運規劃及預算管理制度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(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二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)-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策略規劃與預算編製」。月旦會計實務研究，第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7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期，頁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94-111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。</w:t>
      </w:r>
    </w:p>
    <w:p w:rsidR="009F12A3" w:rsidRPr="00C75C62" w:rsidRDefault="009F12A3" w:rsidP="00F74FC3">
      <w:pPr>
        <w:pStyle w:val="a4"/>
        <w:widowControl/>
        <w:spacing w:line="0" w:lineRule="atLeast"/>
        <w:ind w:leftChars="0" w:left="1202"/>
        <w:jc w:val="both"/>
        <w:rPr>
          <w:rFonts w:ascii="標楷體" w:eastAsia="標楷體" w:hAnsi="標楷體" w:cs="Times New Roman"/>
          <w:bCs/>
          <w:kern w:val="0"/>
          <w:sz w:val="28"/>
          <w:szCs w:val="28"/>
        </w:rPr>
      </w:pPr>
    </w:p>
    <w:p w:rsidR="007B550A" w:rsidRPr="00F74FC3" w:rsidRDefault="00972B8E" w:rsidP="007B550A">
      <w:pPr>
        <w:pStyle w:val="a4"/>
        <w:widowControl/>
        <w:numPr>
          <w:ilvl w:val="0"/>
          <w:numId w:val="6"/>
        </w:numPr>
        <w:spacing w:line="0" w:lineRule="atLeast"/>
        <w:ind w:leftChars="0"/>
        <w:jc w:val="both"/>
        <w:rPr>
          <w:rFonts w:ascii="標楷體" w:eastAsia="微軟正黑體" w:hAnsi="標楷體" w:cs="Times New Roman"/>
          <w:bCs/>
          <w:color w:val="0070C0"/>
          <w:kern w:val="0"/>
          <w:szCs w:val="24"/>
        </w:rPr>
      </w:pPr>
      <w:r w:rsidRPr="00F74FC3">
        <w:rPr>
          <w:rFonts w:ascii="標楷體" w:eastAsia="微軟正黑體" w:hAnsi="標楷體" w:cs="Times New Roman" w:hint="eastAsia"/>
          <w:bCs/>
          <w:color w:val="0070C0"/>
          <w:kern w:val="0"/>
          <w:sz w:val="36"/>
          <w:szCs w:val="36"/>
        </w:rPr>
        <w:t>報名費用</w:t>
      </w:r>
    </w:p>
    <w:p w:rsidR="00FB3615" w:rsidRPr="00550CCD" w:rsidRDefault="00550CCD" w:rsidP="00F74FC3">
      <w:pPr>
        <w:pStyle w:val="a4"/>
        <w:widowControl/>
        <w:numPr>
          <w:ilvl w:val="0"/>
          <w:numId w:val="12"/>
        </w:numPr>
        <w:spacing w:line="0" w:lineRule="atLeast"/>
        <w:ind w:leftChars="450" w:left="1562" w:hanging="482"/>
        <w:jc w:val="both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550CCD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免費。</w:t>
      </w:r>
    </w:p>
    <w:p w:rsidR="0027257F" w:rsidRPr="00550CCD" w:rsidRDefault="00FB3615" w:rsidP="00F74FC3">
      <w:pPr>
        <w:pStyle w:val="a4"/>
        <w:widowControl/>
        <w:numPr>
          <w:ilvl w:val="0"/>
          <w:numId w:val="12"/>
        </w:numPr>
        <w:spacing w:line="0" w:lineRule="atLeast"/>
        <w:ind w:leftChars="450" w:left="1562" w:hanging="482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550CCD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學員</w:t>
      </w:r>
      <w:r w:rsidR="0007001B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若欲</w:t>
      </w:r>
      <w:r w:rsidR="00A723A4" w:rsidRPr="00550CCD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訂</w:t>
      </w:r>
      <w:r w:rsidR="00A723A4"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購</w:t>
      </w:r>
      <w:r w:rsidR="00A723A4"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(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策略管理與會計個案集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)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，</w:t>
      </w:r>
      <w:r w:rsidR="00A723A4"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可享</w:t>
      </w:r>
      <w:r w:rsidR="00A723A4"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8</w:t>
      </w:r>
      <w:r w:rsidR="00A723A4"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折優惠價</w:t>
      </w:r>
      <w:r w:rsidR="00A723A4"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(</w:t>
      </w:r>
      <w:r w:rsidR="00A723A4"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原價</w:t>
      </w:r>
      <w:r w:rsidR="00A723A4"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350</w:t>
      </w:r>
      <w:r w:rsidR="00A723A4"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元</w:t>
      </w:r>
      <w:r w:rsidR="00A723A4"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)</w:t>
      </w:r>
      <w:r w:rsidRPr="00952748">
        <w:rPr>
          <w:rFonts w:ascii="Times New Roman" w:eastAsia="標楷體" w:hAnsi="Times New Roman" w:cs="Times New Roman"/>
          <w:bCs/>
          <w:kern w:val="0"/>
          <w:sz w:val="28"/>
          <w:szCs w:val="28"/>
        </w:rPr>
        <w:t>。</w:t>
      </w:r>
    </w:p>
    <w:p w:rsidR="00A723A4" w:rsidRPr="00550CCD" w:rsidRDefault="00A723A4" w:rsidP="00F74FC3">
      <w:pPr>
        <w:pStyle w:val="a4"/>
        <w:widowControl/>
        <w:numPr>
          <w:ilvl w:val="0"/>
          <w:numId w:val="12"/>
        </w:numPr>
        <w:spacing w:line="0" w:lineRule="atLeast"/>
        <w:ind w:leftChars="450" w:left="1562" w:hanging="482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550CCD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提供</w:t>
      </w:r>
      <w:r w:rsidR="00E501B7" w:rsidRPr="0095274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講義、</w:t>
      </w:r>
      <w:r w:rsidRPr="0095274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研習</w:t>
      </w:r>
      <w:r w:rsidRPr="00550CCD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證明</w:t>
      </w:r>
      <w:r w:rsidR="00F717B7" w:rsidRPr="00550CCD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與午餐便當</w:t>
      </w:r>
      <w:r w:rsidRPr="00550CCD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。</w:t>
      </w:r>
    </w:p>
    <w:p w:rsidR="003A076D" w:rsidRDefault="003A076D" w:rsidP="003A076D">
      <w:pPr>
        <w:widowControl/>
        <w:spacing w:line="0" w:lineRule="atLeast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3A076D" w:rsidRDefault="003A076D" w:rsidP="003A076D">
      <w:pPr>
        <w:widowControl/>
        <w:spacing w:line="0" w:lineRule="atLeast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4253"/>
        <w:gridCol w:w="3231"/>
      </w:tblGrid>
      <w:tr w:rsidR="000816D4" w:rsidRPr="005E2BB6" w:rsidTr="005E2BB6">
        <w:trPr>
          <w:jc w:val="center"/>
        </w:trPr>
        <w:tc>
          <w:tcPr>
            <w:tcW w:w="10456" w:type="dxa"/>
            <w:gridSpan w:val="3"/>
          </w:tcPr>
          <w:p w:rsidR="000816D4" w:rsidRPr="005E2BB6" w:rsidRDefault="000816D4" w:rsidP="000816D4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Arial"/>
                <w:b/>
                <w:color w:val="000000"/>
                <w:sz w:val="40"/>
                <w:szCs w:val="40"/>
                <w:shd w:val="clear" w:color="auto" w:fill="FFFFFF"/>
              </w:rPr>
            </w:pPr>
            <w:r w:rsidRPr="005E2BB6">
              <w:rPr>
                <w:rFonts w:ascii="Times New Roman" w:eastAsia="標楷體" w:hAnsi="Times New Roman" w:cs="Arial" w:hint="eastAsia"/>
                <w:b/>
                <w:color w:val="000000"/>
                <w:sz w:val="40"/>
                <w:szCs w:val="40"/>
                <w:shd w:val="clear" w:color="auto" w:fill="FFFFFF"/>
              </w:rPr>
              <w:t>活動議程</w:t>
            </w:r>
          </w:p>
        </w:tc>
      </w:tr>
      <w:tr w:rsidR="003A076D" w:rsidRPr="005E2BB6" w:rsidTr="00093936">
        <w:trPr>
          <w:jc w:val="center"/>
        </w:trPr>
        <w:tc>
          <w:tcPr>
            <w:tcW w:w="2972" w:type="dxa"/>
          </w:tcPr>
          <w:p w:rsidR="003A076D" w:rsidRPr="005A6D09" w:rsidRDefault="000816D4" w:rsidP="005E2BB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Arial"/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5A6D09">
              <w:rPr>
                <w:rFonts w:ascii="Times New Roman" w:eastAsia="標楷體" w:hAnsi="Times New Roman" w:cs="Arial" w:hint="eastAsia"/>
                <w:b/>
                <w:color w:val="000000"/>
                <w:sz w:val="27"/>
                <w:szCs w:val="27"/>
                <w:shd w:val="clear" w:color="auto" w:fill="FFFFFF"/>
              </w:rPr>
              <w:t>時間</w:t>
            </w:r>
          </w:p>
        </w:tc>
        <w:tc>
          <w:tcPr>
            <w:tcW w:w="4253" w:type="dxa"/>
          </w:tcPr>
          <w:p w:rsidR="003A076D" w:rsidRPr="005A6D09" w:rsidRDefault="000816D4" w:rsidP="005E2BB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Arial"/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5A6D09">
              <w:rPr>
                <w:rFonts w:ascii="Times New Roman" w:eastAsia="標楷體" w:hAnsi="Times New Roman" w:cs="Arial" w:hint="eastAsia"/>
                <w:b/>
                <w:color w:val="000000"/>
                <w:sz w:val="27"/>
                <w:szCs w:val="27"/>
                <w:shd w:val="clear" w:color="auto" w:fill="FFFFFF"/>
              </w:rPr>
              <w:t>內容</w:t>
            </w:r>
          </w:p>
        </w:tc>
        <w:tc>
          <w:tcPr>
            <w:tcW w:w="3231" w:type="dxa"/>
          </w:tcPr>
          <w:p w:rsidR="003A076D" w:rsidRPr="005E2BB6" w:rsidRDefault="00EB0CBA" w:rsidP="005E2BB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</w:pPr>
            <w:r w:rsidRPr="00EB0CBA">
              <w:rPr>
                <w:rFonts w:ascii="Times New Roman" w:eastAsia="標楷體" w:hAnsi="Times New Roman" w:cs="Arial" w:hint="eastAsia"/>
                <w:b/>
                <w:color w:val="000000"/>
                <w:sz w:val="27"/>
                <w:szCs w:val="27"/>
                <w:shd w:val="clear" w:color="auto" w:fill="FFFFFF"/>
              </w:rPr>
              <w:t>講師</w:t>
            </w:r>
          </w:p>
        </w:tc>
      </w:tr>
      <w:tr w:rsidR="003A076D" w:rsidRPr="005E2BB6" w:rsidTr="00093936">
        <w:trPr>
          <w:jc w:val="center"/>
        </w:trPr>
        <w:tc>
          <w:tcPr>
            <w:tcW w:w="2972" w:type="dxa"/>
          </w:tcPr>
          <w:p w:rsidR="003A076D" w:rsidRPr="005E2BB6" w:rsidRDefault="000816D4" w:rsidP="00EB450B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</w:pPr>
            <w:r w:rsidRPr="005E2BB6"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  <w:t>0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9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：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00</w:t>
            </w:r>
            <w:r w:rsidRPr="005E2BB6"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-</w:t>
            </w:r>
            <w:r w:rsidRPr="005E2BB6"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0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9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：</w:t>
            </w:r>
            <w:r w:rsidR="00EB450B"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  <w:t>20</w:t>
            </w:r>
          </w:p>
        </w:tc>
        <w:tc>
          <w:tcPr>
            <w:tcW w:w="4253" w:type="dxa"/>
          </w:tcPr>
          <w:p w:rsidR="003A076D" w:rsidRPr="005E2BB6" w:rsidRDefault="000816D4" w:rsidP="00093936">
            <w:pPr>
              <w:widowControl/>
              <w:spacing w:line="0" w:lineRule="atLeast"/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</w:pP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報到</w:t>
            </w:r>
          </w:p>
        </w:tc>
        <w:tc>
          <w:tcPr>
            <w:tcW w:w="3231" w:type="dxa"/>
          </w:tcPr>
          <w:p w:rsidR="003A076D" w:rsidRPr="005E2BB6" w:rsidRDefault="003A076D" w:rsidP="003A076D">
            <w:pPr>
              <w:widowControl/>
              <w:spacing w:line="0" w:lineRule="atLeast"/>
              <w:jc w:val="both"/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FB5AB7" w:rsidRPr="005E2BB6" w:rsidTr="00093936">
        <w:trPr>
          <w:jc w:val="center"/>
        </w:trPr>
        <w:tc>
          <w:tcPr>
            <w:tcW w:w="2972" w:type="dxa"/>
          </w:tcPr>
          <w:p w:rsidR="00FB5AB7" w:rsidRPr="005E2BB6" w:rsidRDefault="00FB5AB7" w:rsidP="00EB450B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</w:pPr>
            <w:r w:rsidRPr="005E2BB6"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  <w:t>0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9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：</w:t>
            </w:r>
            <w:r w:rsidR="00EB450B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20</w:t>
            </w:r>
            <w:r w:rsidRPr="005E2BB6"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-</w:t>
            </w:r>
            <w:r w:rsidRPr="005E2BB6"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0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9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：</w:t>
            </w:r>
            <w:r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30</w:t>
            </w:r>
          </w:p>
        </w:tc>
        <w:tc>
          <w:tcPr>
            <w:tcW w:w="4253" w:type="dxa"/>
          </w:tcPr>
          <w:p w:rsidR="00FB5AB7" w:rsidRPr="005E2BB6" w:rsidRDefault="00093936" w:rsidP="00093936">
            <w:pPr>
              <w:widowControl/>
              <w:spacing w:line="0" w:lineRule="atLeast"/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</w:pP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長官致詞</w:t>
            </w:r>
          </w:p>
        </w:tc>
        <w:tc>
          <w:tcPr>
            <w:tcW w:w="3231" w:type="dxa"/>
          </w:tcPr>
          <w:p w:rsidR="00FB5AB7" w:rsidRPr="005E2BB6" w:rsidRDefault="00FB5AB7" w:rsidP="003A076D">
            <w:pPr>
              <w:widowControl/>
              <w:spacing w:line="0" w:lineRule="atLeast"/>
              <w:jc w:val="both"/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3A076D" w:rsidRPr="005E2BB6" w:rsidTr="00093936">
        <w:trPr>
          <w:jc w:val="center"/>
        </w:trPr>
        <w:tc>
          <w:tcPr>
            <w:tcW w:w="2972" w:type="dxa"/>
          </w:tcPr>
          <w:p w:rsidR="003A076D" w:rsidRPr="005E2BB6" w:rsidRDefault="000816D4" w:rsidP="000816D4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</w:pPr>
            <w:r w:rsidRPr="005E2BB6"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  <w:t>0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9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：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30</w:t>
            </w:r>
            <w:r w:rsidRPr="005E2BB6"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-</w:t>
            </w:r>
            <w:r w:rsidRPr="005E2BB6"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11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：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00</w:t>
            </w:r>
          </w:p>
        </w:tc>
        <w:tc>
          <w:tcPr>
            <w:tcW w:w="4253" w:type="dxa"/>
          </w:tcPr>
          <w:p w:rsidR="003A076D" w:rsidRPr="005E2BB6" w:rsidRDefault="005E2BB6" w:rsidP="00093936">
            <w:pPr>
              <w:widowControl/>
              <w:spacing w:line="0" w:lineRule="atLeast"/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</w:pP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經營診斷與策略規劃個案討論</w:t>
            </w:r>
          </w:p>
        </w:tc>
        <w:tc>
          <w:tcPr>
            <w:tcW w:w="3231" w:type="dxa"/>
          </w:tcPr>
          <w:p w:rsidR="003A076D" w:rsidRPr="005E2BB6" w:rsidRDefault="000816D4" w:rsidP="003A076D">
            <w:pPr>
              <w:widowControl/>
              <w:spacing w:line="0" w:lineRule="atLeast"/>
              <w:jc w:val="both"/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</w:pP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傅鍾仁教授</w:t>
            </w:r>
          </w:p>
        </w:tc>
      </w:tr>
      <w:tr w:rsidR="003A076D" w:rsidRPr="005E2BB6" w:rsidTr="00093936">
        <w:trPr>
          <w:jc w:val="center"/>
        </w:trPr>
        <w:tc>
          <w:tcPr>
            <w:tcW w:w="2972" w:type="dxa"/>
          </w:tcPr>
          <w:p w:rsidR="003A076D" w:rsidRPr="005E2BB6" w:rsidRDefault="000816D4" w:rsidP="000816D4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</w:pP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11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：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10</w:t>
            </w:r>
            <w:r w:rsidRPr="005E2BB6"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-</w:t>
            </w:r>
            <w:r w:rsidRPr="005E2BB6"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12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：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00</w:t>
            </w:r>
          </w:p>
        </w:tc>
        <w:tc>
          <w:tcPr>
            <w:tcW w:w="4253" w:type="dxa"/>
          </w:tcPr>
          <w:p w:rsidR="003A076D" w:rsidRPr="005E2BB6" w:rsidRDefault="005E2BB6" w:rsidP="00093936">
            <w:pPr>
              <w:widowControl/>
              <w:spacing w:line="0" w:lineRule="atLeast"/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</w:pP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策略規劃、營運規劃分組實作</w:t>
            </w:r>
          </w:p>
        </w:tc>
        <w:tc>
          <w:tcPr>
            <w:tcW w:w="3231" w:type="dxa"/>
          </w:tcPr>
          <w:p w:rsidR="003A076D" w:rsidRPr="005E2BB6" w:rsidRDefault="000816D4" w:rsidP="003A076D">
            <w:pPr>
              <w:widowControl/>
              <w:spacing w:line="0" w:lineRule="atLeast"/>
              <w:jc w:val="both"/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</w:pP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傅鍾仁教授、黃瓊瑤教授</w:t>
            </w:r>
          </w:p>
        </w:tc>
      </w:tr>
      <w:tr w:rsidR="000816D4" w:rsidRPr="005E2BB6" w:rsidTr="00093936">
        <w:trPr>
          <w:jc w:val="center"/>
        </w:trPr>
        <w:tc>
          <w:tcPr>
            <w:tcW w:w="2972" w:type="dxa"/>
          </w:tcPr>
          <w:p w:rsidR="000816D4" w:rsidRPr="005E2BB6" w:rsidRDefault="000816D4" w:rsidP="000816D4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</w:pP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12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：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00</w:t>
            </w:r>
            <w:r w:rsidRPr="005E2BB6"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- 13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：</w:t>
            </w:r>
            <w:r w:rsidRPr="005E2BB6"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  <w:t>10</w:t>
            </w:r>
          </w:p>
        </w:tc>
        <w:tc>
          <w:tcPr>
            <w:tcW w:w="4253" w:type="dxa"/>
          </w:tcPr>
          <w:p w:rsidR="000816D4" w:rsidRPr="005E2BB6" w:rsidRDefault="000816D4" w:rsidP="00093936">
            <w:pPr>
              <w:widowControl/>
              <w:spacing w:line="0" w:lineRule="atLeast"/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</w:pP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中午休息</w:t>
            </w:r>
          </w:p>
        </w:tc>
        <w:tc>
          <w:tcPr>
            <w:tcW w:w="3231" w:type="dxa"/>
          </w:tcPr>
          <w:p w:rsidR="000816D4" w:rsidRPr="005E2BB6" w:rsidRDefault="000816D4" w:rsidP="003A076D">
            <w:pPr>
              <w:widowControl/>
              <w:spacing w:line="0" w:lineRule="atLeast"/>
              <w:jc w:val="both"/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0816D4" w:rsidRPr="005E2BB6" w:rsidTr="00093936">
        <w:trPr>
          <w:jc w:val="center"/>
        </w:trPr>
        <w:tc>
          <w:tcPr>
            <w:tcW w:w="2972" w:type="dxa"/>
          </w:tcPr>
          <w:p w:rsidR="000816D4" w:rsidRPr="005E2BB6" w:rsidRDefault="000816D4" w:rsidP="000816D4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</w:pP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13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：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10</w:t>
            </w:r>
            <w:r w:rsidRPr="005E2BB6"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-</w:t>
            </w:r>
            <w:r w:rsidRPr="005E2BB6"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14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：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40</w:t>
            </w:r>
          </w:p>
        </w:tc>
        <w:tc>
          <w:tcPr>
            <w:tcW w:w="4253" w:type="dxa"/>
          </w:tcPr>
          <w:p w:rsidR="000816D4" w:rsidRPr="005E2BB6" w:rsidRDefault="005E2BB6" w:rsidP="00093936">
            <w:pPr>
              <w:widowControl/>
              <w:spacing w:line="0" w:lineRule="atLeast"/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</w:pP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策略規劃與預算編製個案討論</w:t>
            </w:r>
          </w:p>
        </w:tc>
        <w:tc>
          <w:tcPr>
            <w:tcW w:w="3231" w:type="dxa"/>
          </w:tcPr>
          <w:p w:rsidR="000816D4" w:rsidRPr="005E2BB6" w:rsidRDefault="000816D4" w:rsidP="003A076D">
            <w:pPr>
              <w:widowControl/>
              <w:spacing w:line="0" w:lineRule="atLeast"/>
              <w:jc w:val="both"/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</w:pP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黃瓊瑤教授</w:t>
            </w:r>
          </w:p>
        </w:tc>
      </w:tr>
      <w:tr w:rsidR="000816D4" w:rsidRPr="005E2BB6" w:rsidTr="00093936">
        <w:trPr>
          <w:jc w:val="center"/>
        </w:trPr>
        <w:tc>
          <w:tcPr>
            <w:tcW w:w="2972" w:type="dxa"/>
          </w:tcPr>
          <w:p w:rsidR="000816D4" w:rsidRPr="005E2BB6" w:rsidRDefault="000816D4" w:rsidP="000816D4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</w:pP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15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：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00</w:t>
            </w:r>
            <w:r w:rsidRPr="005E2BB6"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-</w:t>
            </w:r>
            <w:r w:rsidRPr="005E2BB6"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16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：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30</w:t>
            </w:r>
          </w:p>
        </w:tc>
        <w:tc>
          <w:tcPr>
            <w:tcW w:w="4253" w:type="dxa"/>
          </w:tcPr>
          <w:p w:rsidR="000816D4" w:rsidRPr="005E2BB6" w:rsidRDefault="005E2BB6" w:rsidP="00093936">
            <w:pPr>
              <w:widowControl/>
              <w:spacing w:line="0" w:lineRule="atLeast"/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</w:pP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策略規劃與預算編製分組實作</w:t>
            </w:r>
          </w:p>
        </w:tc>
        <w:tc>
          <w:tcPr>
            <w:tcW w:w="3231" w:type="dxa"/>
          </w:tcPr>
          <w:p w:rsidR="000816D4" w:rsidRPr="005E2BB6" w:rsidRDefault="000816D4" w:rsidP="000816D4">
            <w:pPr>
              <w:widowControl/>
              <w:spacing w:line="0" w:lineRule="atLeast"/>
              <w:jc w:val="both"/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</w:pP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傅鍾仁教授、黃瓊瑤教授</w:t>
            </w:r>
          </w:p>
        </w:tc>
      </w:tr>
      <w:tr w:rsidR="005E2BB6" w:rsidRPr="005E2BB6" w:rsidTr="00093936">
        <w:trPr>
          <w:jc w:val="center"/>
        </w:trPr>
        <w:tc>
          <w:tcPr>
            <w:tcW w:w="2972" w:type="dxa"/>
          </w:tcPr>
          <w:p w:rsidR="005E2BB6" w:rsidRPr="005E2BB6" w:rsidRDefault="005E2BB6" w:rsidP="005E2BB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</w:pP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16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：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30</w:t>
            </w:r>
            <w:r w:rsidR="00746FAF"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-</w:t>
            </w:r>
            <w:r w:rsidRPr="005E2BB6"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17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：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00</w:t>
            </w:r>
          </w:p>
        </w:tc>
        <w:tc>
          <w:tcPr>
            <w:tcW w:w="4253" w:type="dxa"/>
          </w:tcPr>
          <w:p w:rsidR="005E2BB6" w:rsidRPr="005E2BB6" w:rsidRDefault="005E2BB6" w:rsidP="00093936">
            <w:pPr>
              <w:widowControl/>
              <w:spacing w:line="0" w:lineRule="atLeast"/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</w:pPr>
            <w:r w:rsidRPr="005E2BB6"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  <w:t>Q</w:t>
            </w:r>
            <w:r w:rsidR="00076412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&amp;</w:t>
            </w:r>
            <w:r w:rsidR="00076412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5E2BB6"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  <w:t xml:space="preserve">A </w:t>
            </w:r>
            <w:r w:rsidRPr="005E2BB6">
              <w:rPr>
                <w:rFonts w:ascii="Times New Roman" w:eastAsia="標楷體" w:hAnsi="Times New Roman" w:cs="Arial" w:hint="eastAsia"/>
                <w:color w:val="000000"/>
                <w:sz w:val="27"/>
                <w:szCs w:val="27"/>
                <w:shd w:val="clear" w:color="auto" w:fill="FFFFFF"/>
              </w:rPr>
              <w:t>雙向交流</w:t>
            </w:r>
          </w:p>
        </w:tc>
        <w:tc>
          <w:tcPr>
            <w:tcW w:w="3231" w:type="dxa"/>
          </w:tcPr>
          <w:p w:rsidR="005E2BB6" w:rsidRPr="005E2BB6" w:rsidRDefault="005E2BB6" w:rsidP="000816D4">
            <w:pPr>
              <w:widowControl/>
              <w:spacing w:line="0" w:lineRule="atLeast"/>
              <w:jc w:val="both"/>
              <w:rPr>
                <w:rFonts w:ascii="Times New Roman" w:eastAsia="標楷體" w:hAnsi="Times New Roman" w:cs="Arial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</w:tbl>
    <w:p w:rsidR="003A076D" w:rsidRDefault="003A076D" w:rsidP="003A076D">
      <w:pPr>
        <w:widowControl/>
        <w:spacing w:line="0" w:lineRule="atLeast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972B8E" w:rsidRDefault="00972B8E" w:rsidP="007F6D4F"/>
    <w:p w:rsidR="002773B1" w:rsidRPr="0007001B" w:rsidRDefault="002773B1" w:rsidP="0007001B">
      <w:pPr>
        <w:widowControl/>
        <w:spacing w:line="0" w:lineRule="atLeast"/>
        <w:jc w:val="both"/>
        <w:rPr>
          <w:rFonts w:ascii="標楷體" w:eastAsia="微軟正黑體" w:hAnsi="標楷體" w:cs="Times New Roman"/>
          <w:bCs/>
          <w:color w:val="0070C0"/>
          <w:kern w:val="0"/>
          <w:sz w:val="36"/>
          <w:szCs w:val="36"/>
        </w:rPr>
      </w:pPr>
    </w:p>
    <w:sectPr w:rsidR="002773B1" w:rsidRPr="0007001B" w:rsidSect="00D25A59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82B" w:rsidRDefault="0090482B" w:rsidP="006E0E13">
      <w:r>
        <w:separator/>
      </w:r>
    </w:p>
  </w:endnote>
  <w:endnote w:type="continuationSeparator" w:id="0">
    <w:p w:rsidR="0090482B" w:rsidRDefault="0090482B" w:rsidP="006E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正顏楷體W7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華康黑體 Std W12">
    <w:panose1 w:val="020B0C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82B" w:rsidRDefault="0090482B" w:rsidP="006E0E13">
      <w:r>
        <w:separator/>
      </w:r>
    </w:p>
  </w:footnote>
  <w:footnote w:type="continuationSeparator" w:id="0">
    <w:p w:rsidR="0090482B" w:rsidRDefault="0090482B" w:rsidP="006E0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F58"/>
    <w:multiLevelType w:val="hybridMultilevel"/>
    <w:tmpl w:val="9398C562"/>
    <w:lvl w:ilvl="0" w:tplc="AEFC7F9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2314BE"/>
    <w:multiLevelType w:val="hybridMultilevel"/>
    <w:tmpl w:val="05BC6180"/>
    <w:lvl w:ilvl="0" w:tplc="97FE505E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3D0EB0"/>
    <w:multiLevelType w:val="hybridMultilevel"/>
    <w:tmpl w:val="6030ABE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261AA8"/>
    <w:multiLevelType w:val="hybridMultilevel"/>
    <w:tmpl w:val="8AA2ED12"/>
    <w:lvl w:ilvl="0" w:tplc="97FE505E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D420B5"/>
    <w:multiLevelType w:val="hybridMultilevel"/>
    <w:tmpl w:val="F1C6C464"/>
    <w:lvl w:ilvl="0" w:tplc="AEFC7F9A">
      <w:start w:val="1"/>
      <w:numFmt w:val="decimal"/>
      <w:lvlText w:val="(%1)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9507DC9"/>
    <w:multiLevelType w:val="hybridMultilevel"/>
    <w:tmpl w:val="F1C6C464"/>
    <w:lvl w:ilvl="0" w:tplc="AEFC7F9A">
      <w:start w:val="1"/>
      <w:numFmt w:val="decimal"/>
      <w:lvlText w:val="(%1)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4FD626D"/>
    <w:multiLevelType w:val="hybridMultilevel"/>
    <w:tmpl w:val="8F402466"/>
    <w:lvl w:ilvl="0" w:tplc="CC28B0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EB4DE6"/>
    <w:multiLevelType w:val="hybridMultilevel"/>
    <w:tmpl w:val="792055C4"/>
    <w:lvl w:ilvl="0" w:tplc="7EF275E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9A44A6"/>
    <w:multiLevelType w:val="hybridMultilevel"/>
    <w:tmpl w:val="CFF0B5FE"/>
    <w:lvl w:ilvl="0" w:tplc="AEFC7F9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6D4DA4"/>
    <w:multiLevelType w:val="hybridMultilevel"/>
    <w:tmpl w:val="857EA090"/>
    <w:lvl w:ilvl="0" w:tplc="97FE505E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295F84"/>
    <w:multiLevelType w:val="hybridMultilevel"/>
    <w:tmpl w:val="486A65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8760B4"/>
    <w:multiLevelType w:val="hybridMultilevel"/>
    <w:tmpl w:val="5E460CA0"/>
    <w:lvl w:ilvl="0" w:tplc="BDA867CC">
      <w:start w:val="1"/>
      <w:numFmt w:val="taiwaneseCountingThousand"/>
      <w:lvlText w:val="(%1)"/>
      <w:lvlJc w:val="left"/>
      <w:pPr>
        <w:ind w:left="1290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8"/>
  </w:num>
  <w:num w:numId="9">
    <w:abstractNumId w:val="11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67"/>
    <w:rsid w:val="00062721"/>
    <w:rsid w:val="00066CD1"/>
    <w:rsid w:val="0007001B"/>
    <w:rsid w:val="000706B9"/>
    <w:rsid w:val="00076412"/>
    <w:rsid w:val="000816D4"/>
    <w:rsid w:val="00093936"/>
    <w:rsid w:val="000A2F76"/>
    <w:rsid w:val="000A370E"/>
    <w:rsid w:val="000B193E"/>
    <w:rsid w:val="000B3230"/>
    <w:rsid w:val="000D565D"/>
    <w:rsid w:val="000D697A"/>
    <w:rsid w:val="000F7BB5"/>
    <w:rsid w:val="00103785"/>
    <w:rsid w:val="00134F25"/>
    <w:rsid w:val="001441AC"/>
    <w:rsid w:val="00144EDE"/>
    <w:rsid w:val="00187923"/>
    <w:rsid w:val="001A684A"/>
    <w:rsid w:val="001B067E"/>
    <w:rsid w:val="001B13AB"/>
    <w:rsid w:val="001C2C81"/>
    <w:rsid w:val="001E26BC"/>
    <w:rsid w:val="001F43A4"/>
    <w:rsid w:val="001F5488"/>
    <w:rsid w:val="002156B6"/>
    <w:rsid w:val="00220699"/>
    <w:rsid w:val="00221397"/>
    <w:rsid w:val="002270FA"/>
    <w:rsid w:val="00234A21"/>
    <w:rsid w:val="002423D6"/>
    <w:rsid w:val="00244BF6"/>
    <w:rsid w:val="00254474"/>
    <w:rsid w:val="0025720D"/>
    <w:rsid w:val="00261C9D"/>
    <w:rsid w:val="0027257F"/>
    <w:rsid w:val="002773B1"/>
    <w:rsid w:val="0028137C"/>
    <w:rsid w:val="00286F0D"/>
    <w:rsid w:val="002C2FCF"/>
    <w:rsid w:val="002D5F24"/>
    <w:rsid w:val="002D697B"/>
    <w:rsid w:val="002F5923"/>
    <w:rsid w:val="002F6B43"/>
    <w:rsid w:val="00303562"/>
    <w:rsid w:val="00330233"/>
    <w:rsid w:val="00355D58"/>
    <w:rsid w:val="003654C7"/>
    <w:rsid w:val="00365CE3"/>
    <w:rsid w:val="00366B25"/>
    <w:rsid w:val="003739E5"/>
    <w:rsid w:val="003A076D"/>
    <w:rsid w:val="003A4A66"/>
    <w:rsid w:val="003C3A6E"/>
    <w:rsid w:val="003C72B4"/>
    <w:rsid w:val="003D0668"/>
    <w:rsid w:val="003D5708"/>
    <w:rsid w:val="003D5A69"/>
    <w:rsid w:val="00400E65"/>
    <w:rsid w:val="0042252A"/>
    <w:rsid w:val="0042330D"/>
    <w:rsid w:val="0043340D"/>
    <w:rsid w:val="00441668"/>
    <w:rsid w:val="004651C1"/>
    <w:rsid w:val="00467346"/>
    <w:rsid w:val="004841B7"/>
    <w:rsid w:val="004D7866"/>
    <w:rsid w:val="004F6BB3"/>
    <w:rsid w:val="00500232"/>
    <w:rsid w:val="00505FAA"/>
    <w:rsid w:val="00513C9D"/>
    <w:rsid w:val="00520361"/>
    <w:rsid w:val="00525ACF"/>
    <w:rsid w:val="00534430"/>
    <w:rsid w:val="00550CCD"/>
    <w:rsid w:val="00570620"/>
    <w:rsid w:val="005722A8"/>
    <w:rsid w:val="005836BB"/>
    <w:rsid w:val="005A0D21"/>
    <w:rsid w:val="005A6D09"/>
    <w:rsid w:val="005B685C"/>
    <w:rsid w:val="005B73D9"/>
    <w:rsid w:val="005E2BB6"/>
    <w:rsid w:val="005E4BEE"/>
    <w:rsid w:val="00603C51"/>
    <w:rsid w:val="006147E1"/>
    <w:rsid w:val="00643D96"/>
    <w:rsid w:val="00646C74"/>
    <w:rsid w:val="006750BE"/>
    <w:rsid w:val="00687891"/>
    <w:rsid w:val="006B197C"/>
    <w:rsid w:val="006B4161"/>
    <w:rsid w:val="006C6352"/>
    <w:rsid w:val="006D73D6"/>
    <w:rsid w:val="006E0E13"/>
    <w:rsid w:val="00701795"/>
    <w:rsid w:val="007024D4"/>
    <w:rsid w:val="00746FAF"/>
    <w:rsid w:val="00763B98"/>
    <w:rsid w:val="007842BD"/>
    <w:rsid w:val="00784A1C"/>
    <w:rsid w:val="0078773C"/>
    <w:rsid w:val="007A0DB3"/>
    <w:rsid w:val="007B550A"/>
    <w:rsid w:val="007B5AAD"/>
    <w:rsid w:val="007E7590"/>
    <w:rsid w:val="007F44FE"/>
    <w:rsid w:val="007F6D4F"/>
    <w:rsid w:val="00851BCB"/>
    <w:rsid w:val="00861D3A"/>
    <w:rsid w:val="0087749B"/>
    <w:rsid w:val="008C0FA3"/>
    <w:rsid w:val="008E171F"/>
    <w:rsid w:val="008E475E"/>
    <w:rsid w:val="008E7B04"/>
    <w:rsid w:val="008F2EDE"/>
    <w:rsid w:val="008F492C"/>
    <w:rsid w:val="0090482B"/>
    <w:rsid w:val="009074B6"/>
    <w:rsid w:val="00910668"/>
    <w:rsid w:val="009215DF"/>
    <w:rsid w:val="00931E9F"/>
    <w:rsid w:val="00952748"/>
    <w:rsid w:val="00954214"/>
    <w:rsid w:val="00972B8E"/>
    <w:rsid w:val="00984DA6"/>
    <w:rsid w:val="00991D3D"/>
    <w:rsid w:val="00996651"/>
    <w:rsid w:val="0099682E"/>
    <w:rsid w:val="009A48AC"/>
    <w:rsid w:val="009B3505"/>
    <w:rsid w:val="009D1507"/>
    <w:rsid w:val="009F12A3"/>
    <w:rsid w:val="009F6F64"/>
    <w:rsid w:val="00A177A1"/>
    <w:rsid w:val="00A723A4"/>
    <w:rsid w:val="00A811F1"/>
    <w:rsid w:val="00A82D94"/>
    <w:rsid w:val="00A91774"/>
    <w:rsid w:val="00AB00C8"/>
    <w:rsid w:val="00AB7B19"/>
    <w:rsid w:val="00AF2AA8"/>
    <w:rsid w:val="00AF598E"/>
    <w:rsid w:val="00AF60D8"/>
    <w:rsid w:val="00B012B5"/>
    <w:rsid w:val="00B17518"/>
    <w:rsid w:val="00B2415B"/>
    <w:rsid w:val="00B3700C"/>
    <w:rsid w:val="00B37642"/>
    <w:rsid w:val="00B40941"/>
    <w:rsid w:val="00B52C57"/>
    <w:rsid w:val="00B53F7E"/>
    <w:rsid w:val="00B615FE"/>
    <w:rsid w:val="00B63C5E"/>
    <w:rsid w:val="00B75AE4"/>
    <w:rsid w:val="00B8118C"/>
    <w:rsid w:val="00BA0EBB"/>
    <w:rsid w:val="00BB52FB"/>
    <w:rsid w:val="00BC0666"/>
    <w:rsid w:val="00BC5D77"/>
    <w:rsid w:val="00BF49AA"/>
    <w:rsid w:val="00C20A67"/>
    <w:rsid w:val="00C30765"/>
    <w:rsid w:val="00C37D08"/>
    <w:rsid w:val="00C75C62"/>
    <w:rsid w:val="00C95097"/>
    <w:rsid w:val="00CA30B0"/>
    <w:rsid w:val="00CD5C8D"/>
    <w:rsid w:val="00CE1293"/>
    <w:rsid w:val="00D0003F"/>
    <w:rsid w:val="00D01336"/>
    <w:rsid w:val="00D25A59"/>
    <w:rsid w:val="00D41BA1"/>
    <w:rsid w:val="00D44132"/>
    <w:rsid w:val="00D6119C"/>
    <w:rsid w:val="00D62478"/>
    <w:rsid w:val="00D81B0C"/>
    <w:rsid w:val="00D9243B"/>
    <w:rsid w:val="00D95426"/>
    <w:rsid w:val="00DB1E1C"/>
    <w:rsid w:val="00DB2864"/>
    <w:rsid w:val="00DB6820"/>
    <w:rsid w:val="00DD5E79"/>
    <w:rsid w:val="00DF2F41"/>
    <w:rsid w:val="00E501B7"/>
    <w:rsid w:val="00E5292E"/>
    <w:rsid w:val="00E715AD"/>
    <w:rsid w:val="00E92A59"/>
    <w:rsid w:val="00EA7AF4"/>
    <w:rsid w:val="00EB0CBA"/>
    <w:rsid w:val="00EB2D97"/>
    <w:rsid w:val="00EB450B"/>
    <w:rsid w:val="00EC6FDE"/>
    <w:rsid w:val="00F11B05"/>
    <w:rsid w:val="00F2487A"/>
    <w:rsid w:val="00F6544A"/>
    <w:rsid w:val="00F670C1"/>
    <w:rsid w:val="00F717B7"/>
    <w:rsid w:val="00F74FC3"/>
    <w:rsid w:val="00F82BAA"/>
    <w:rsid w:val="00F85F4E"/>
    <w:rsid w:val="00FA2313"/>
    <w:rsid w:val="00FB3615"/>
    <w:rsid w:val="00FB5AB7"/>
    <w:rsid w:val="00FD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660FD"/>
  <w15:chartTrackingRefBased/>
  <w15:docId w15:val="{BE0A7054-11B2-447A-B791-BD4D5ADE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3230"/>
    <w:pPr>
      <w:ind w:leftChars="200" w:left="480"/>
    </w:pPr>
  </w:style>
  <w:style w:type="table" w:styleId="7-3">
    <w:name w:val="Grid Table 7 Colorful Accent 3"/>
    <w:basedOn w:val="a1"/>
    <w:uiPriority w:val="52"/>
    <w:rsid w:val="009074B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5-3">
    <w:name w:val="Grid Table 5 Dark Accent 3"/>
    <w:basedOn w:val="a1"/>
    <w:uiPriority w:val="50"/>
    <w:rsid w:val="009074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4-4">
    <w:name w:val="Grid Table 4 Accent 4"/>
    <w:basedOn w:val="a1"/>
    <w:uiPriority w:val="49"/>
    <w:rsid w:val="0057062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9A4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A48A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0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0E1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0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0E1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72B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550CC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50CCD"/>
  </w:style>
  <w:style w:type="character" w:customStyle="1" w:styleId="ad">
    <w:name w:val="註解文字 字元"/>
    <w:basedOn w:val="a0"/>
    <w:link w:val="ac"/>
    <w:uiPriority w:val="99"/>
    <w:semiHidden/>
    <w:rsid w:val="00550CCD"/>
  </w:style>
  <w:style w:type="paragraph" w:styleId="ae">
    <w:name w:val="annotation subject"/>
    <w:basedOn w:val="ac"/>
    <w:next w:val="ac"/>
    <w:link w:val="af"/>
    <w:uiPriority w:val="99"/>
    <w:semiHidden/>
    <w:unhideWhenUsed/>
    <w:rsid w:val="00550CC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50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2019-08-02T07:13:00Z</cp:lastPrinted>
  <dcterms:created xsi:type="dcterms:W3CDTF">2019-08-07T01:19:00Z</dcterms:created>
  <dcterms:modified xsi:type="dcterms:W3CDTF">2019-08-07T01:19:00Z</dcterms:modified>
</cp:coreProperties>
</file>